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12" w:lineRule="auto"/>
        <w:rPr>
          <w:rFonts w:ascii="仿宋" w:hAns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附件3：</w:t>
      </w:r>
    </w:p>
    <w:p>
      <w:pPr>
        <w:jc w:val="center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江西省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第二届“名师杯”小学数学精品微课大赛</w:t>
      </w:r>
    </w:p>
    <w:p>
      <w:pPr>
        <w:jc w:val="center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评分标准</w:t>
      </w:r>
    </w:p>
    <w:tbl>
      <w:tblPr>
        <w:tblStyle w:val="4"/>
        <w:tblpPr w:leftFromText="180" w:rightFromText="180" w:vertAnchor="text" w:horzAnchor="page" w:tblpX="1183" w:tblpY="400"/>
        <w:tblOverlap w:val="never"/>
        <w:tblW w:w="9463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1209"/>
        <w:gridCol w:w="713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974" w:hRule="atLeast"/>
        </w:trPr>
        <w:tc>
          <w:tcPr>
            <w:tcW w:w="1119" w:type="dxa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solid" w:color="FFFFFF" w:fill="auto"/>
              <w:autoSpaceDN w:val="0"/>
              <w:jc w:val="center"/>
              <w:rPr>
                <w:rFonts w:ascii="仿宋" w:hAnsi="仿宋" w:eastAsia="仿宋" w:cs="仿宋"/>
                <w:b/>
                <w:bCs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b/>
                <w:bCs/>
                <w:shd w:val="clear" w:color="auto" w:fill="FFFFFF"/>
              </w:rPr>
              <w:t>一级</w:t>
            </w:r>
          </w:p>
          <w:p>
            <w:pPr>
              <w:shd w:val="solid" w:color="FFFFFF" w:fill="auto"/>
              <w:autoSpaceDN w:val="0"/>
              <w:jc w:val="center"/>
              <w:rPr>
                <w:rFonts w:ascii="仿宋" w:hAnsi="仿宋" w:eastAsia="仿宋" w:cs="仿宋"/>
                <w:b/>
                <w:bCs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b/>
                <w:bCs/>
                <w:shd w:val="clear" w:color="auto" w:fill="FFFFFF"/>
              </w:rPr>
              <w:t>指标</w:t>
            </w:r>
          </w:p>
        </w:tc>
        <w:tc>
          <w:tcPr>
            <w:tcW w:w="1209" w:type="dxa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solid" w:color="FFFFFF" w:fill="auto"/>
              <w:autoSpaceDN w:val="0"/>
              <w:ind w:firstLine="4" w:firstLineChars="2"/>
              <w:jc w:val="center"/>
              <w:rPr>
                <w:rFonts w:ascii="仿宋" w:hAnsi="仿宋" w:eastAsia="仿宋" w:cs="仿宋"/>
                <w:b/>
                <w:bCs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b/>
                <w:bCs/>
                <w:shd w:val="clear" w:color="auto" w:fill="FFFFFF"/>
              </w:rPr>
              <w:t>二级指标</w:t>
            </w:r>
          </w:p>
        </w:tc>
        <w:tc>
          <w:tcPr>
            <w:tcW w:w="7135" w:type="dxa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solid" w:color="FFFFFF" w:fill="auto"/>
              <w:autoSpaceDN w:val="0"/>
              <w:jc w:val="center"/>
              <w:rPr>
                <w:rFonts w:ascii="仿宋" w:hAnsi="仿宋" w:eastAsia="仿宋" w:cs="仿宋"/>
                <w:b/>
                <w:bCs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b/>
                <w:bCs/>
                <w:shd w:val="clear" w:color="auto" w:fill="FFFFFF"/>
              </w:rPr>
              <w:t>指标说明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" w:hRule="atLeast"/>
        </w:trPr>
        <w:tc>
          <w:tcPr>
            <w:tcW w:w="1119" w:type="dxa"/>
            <w:vMerge w:val="restar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solid" w:color="FFFFFF" w:fill="auto"/>
              <w:autoSpaceDN w:val="0"/>
              <w:jc w:val="center"/>
              <w:rPr>
                <w:rFonts w:ascii="仿宋" w:hAnsi="仿宋" w:eastAsia="仿宋" w:cs="仿宋"/>
                <w:shd w:val="clear" w:color="auto" w:fill="FFFFFF"/>
              </w:rPr>
            </w:pPr>
          </w:p>
          <w:p>
            <w:pPr>
              <w:shd w:val="solid" w:color="FFFFFF" w:fill="auto"/>
              <w:autoSpaceDN w:val="0"/>
              <w:jc w:val="center"/>
              <w:rPr>
                <w:rFonts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教学</w:t>
            </w:r>
          </w:p>
          <w:p>
            <w:pPr>
              <w:shd w:val="solid" w:color="FFFFFF" w:fill="auto"/>
              <w:autoSpaceDN w:val="0"/>
              <w:jc w:val="center"/>
              <w:rPr>
                <w:rFonts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设计</w:t>
            </w:r>
            <w:r>
              <w:rPr>
                <w:rFonts w:hint="eastAsia" w:ascii="仿宋" w:hAnsi="仿宋" w:eastAsia="仿宋" w:cs="仿宋"/>
                <w:shd w:val="clear" w:color="auto" w:fill="FFFFFF"/>
              </w:rPr>
              <w:br w:type="textWrapping"/>
            </w:r>
            <w:r>
              <w:rPr>
                <w:rFonts w:hint="eastAsia" w:ascii="仿宋" w:hAnsi="仿宋" w:eastAsia="仿宋" w:cs="仿宋"/>
                <w:shd w:val="clear" w:color="auto" w:fill="FFFFFF"/>
              </w:rPr>
              <w:t>(40分)</w:t>
            </w:r>
          </w:p>
        </w:tc>
        <w:tc>
          <w:tcPr>
            <w:tcW w:w="1209" w:type="dxa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solid" w:color="FFFFFF" w:fill="auto"/>
              <w:autoSpaceDN w:val="0"/>
              <w:jc w:val="center"/>
              <w:rPr>
                <w:rFonts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重点突出</w:t>
            </w:r>
          </w:p>
          <w:p>
            <w:pPr>
              <w:shd w:val="solid" w:color="FFFFFF" w:fill="auto"/>
              <w:autoSpaceDN w:val="0"/>
              <w:jc w:val="center"/>
              <w:rPr>
                <w:rFonts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（10分）</w:t>
            </w:r>
          </w:p>
        </w:tc>
        <w:tc>
          <w:tcPr>
            <w:tcW w:w="7135" w:type="dxa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solid" w:color="FFFFFF" w:fill="auto"/>
              <w:autoSpaceDN w:val="0"/>
              <w:rPr>
                <w:rFonts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知识点选取准确、科学；选题好、适合用多媒体表达，是教学中典型、重点和难点问题。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1119" w:type="dxa"/>
            <w:vMerge w:val="continue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09" w:type="dxa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solid" w:color="FFFFFF" w:fill="auto"/>
              <w:autoSpaceDN w:val="0"/>
              <w:jc w:val="center"/>
              <w:rPr>
                <w:rFonts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方法灵活</w:t>
            </w:r>
          </w:p>
          <w:p>
            <w:pPr>
              <w:shd w:val="solid" w:color="FFFFFF" w:fill="auto"/>
              <w:autoSpaceDN w:val="0"/>
              <w:jc w:val="center"/>
              <w:rPr>
                <w:rFonts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（10分）</w:t>
            </w:r>
          </w:p>
        </w:tc>
        <w:tc>
          <w:tcPr>
            <w:tcW w:w="7135" w:type="dxa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solid" w:color="FFFFFF" w:fill="auto"/>
              <w:autoSpaceDN w:val="0"/>
              <w:rPr>
                <w:rFonts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教学过程深入浅出，形象生动，精彩有趣，启发引导性强，有利于提升学生学习的积极主动性，至少做到微原创。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1119" w:type="dxa"/>
            <w:vMerge w:val="continue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solid" w:color="FFFFFF" w:fill="auto"/>
              <w:autoSpaceDN w:val="0"/>
              <w:jc w:val="center"/>
              <w:rPr>
                <w:rFonts w:ascii="仿宋" w:hAnsi="仿宋" w:eastAsia="仿宋" w:cs="仿宋"/>
                <w:shd w:val="clear" w:color="auto" w:fill="FFFFFF"/>
              </w:rPr>
            </w:pPr>
          </w:p>
        </w:tc>
        <w:tc>
          <w:tcPr>
            <w:tcW w:w="1209" w:type="dxa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solid" w:color="FFFFFF" w:fill="auto"/>
              <w:autoSpaceDN w:val="0"/>
              <w:jc w:val="center"/>
              <w:rPr>
                <w:rFonts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结构清晰</w:t>
            </w:r>
          </w:p>
          <w:p>
            <w:pPr>
              <w:shd w:val="solid" w:color="FFFFFF" w:fill="auto"/>
              <w:autoSpaceDN w:val="0"/>
              <w:jc w:val="center"/>
              <w:rPr>
                <w:rFonts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（10分）</w:t>
            </w:r>
          </w:p>
        </w:tc>
        <w:tc>
          <w:tcPr>
            <w:tcW w:w="7135" w:type="dxa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solid" w:color="FFFFFF" w:fill="auto"/>
              <w:autoSpaceDN w:val="0"/>
              <w:rPr>
                <w:rFonts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结构清晰、重点突出，逻辑性强，明了易懂。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1119" w:type="dxa"/>
            <w:vMerge w:val="continue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09" w:type="dxa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solid" w:color="FFFFFF" w:fill="auto"/>
              <w:autoSpaceDN w:val="0"/>
              <w:jc w:val="center"/>
              <w:rPr>
                <w:rFonts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课件设计</w:t>
            </w:r>
          </w:p>
          <w:p>
            <w:pPr>
              <w:shd w:val="solid" w:color="FFFFFF" w:fill="auto"/>
              <w:autoSpaceDN w:val="0"/>
              <w:jc w:val="center"/>
              <w:rPr>
                <w:rFonts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（10分）</w:t>
            </w:r>
          </w:p>
        </w:tc>
        <w:tc>
          <w:tcPr>
            <w:tcW w:w="7135" w:type="dxa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solid" w:color="FFFFFF" w:fill="auto"/>
              <w:autoSpaceDN w:val="0"/>
              <w:rPr>
                <w:rFonts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课件使用大赛模板，制作简洁，构图合理，素材搭配恰当，能够很好表现主题。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5" w:hRule="atLeast"/>
        </w:trPr>
        <w:tc>
          <w:tcPr>
            <w:tcW w:w="1119" w:type="dxa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Cs w:val="21"/>
              </w:rPr>
              <w:t>技术</w:t>
            </w:r>
          </w:p>
          <w:p>
            <w:pPr>
              <w:jc w:val="center"/>
              <w:rPr>
                <w:rFonts w:ascii="仿宋" w:hAnsi="仿宋" w:eastAsia="仿宋" w:cs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Cs w:val="21"/>
              </w:rPr>
              <w:t>实现</w:t>
            </w:r>
          </w:p>
          <w:p>
            <w:pPr>
              <w:jc w:val="center"/>
              <w:rPr>
                <w:rFonts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Cs w:val="21"/>
              </w:rPr>
              <w:t>（30分）</w:t>
            </w:r>
          </w:p>
        </w:tc>
        <w:tc>
          <w:tcPr>
            <w:tcW w:w="1209" w:type="dxa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solid" w:color="FFFFFF" w:fill="auto"/>
              <w:autoSpaceDN w:val="0"/>
              <w:jc w:val="center"/>
              <w:rPr>
                <w:rFonts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技术规范</w:t>
            </w:r>
          </w:p>
          <w:p>
            <w:pPr>
              <w:shd w:val="solid" w:color="FFFFFF" w:fill="auto"/>
              <w:autoSpaceDN w:val="0"/>
              <w:jc w:val="center"/>
              <w:rPr>
                <w:rFonts w:ascii="仿宋" w:hAnsi="仿宋" w:eastAsia="仿宋" w:cs="仿宋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（30分）</w:t>
            </w:r>
          </w:p>
        </w:tc>
        <w:tc>
          <w:tcPr>
            <w:tcW w:w="7135" w:type="dxa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8"/>
              <w:rPr>
                <w:rFonts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1.录制方式：选用设备适宜微课的常态化应用和高效便捷的制作，符合日常教学、辅导的习惯。不建议使用录制成本较高的方式录制，不建议使用课堂录播方式。</w:t>
            </w:r>
          </w:p>
          <w:p>
            <w:pPr>
              <w:shd w:val="solid" w:color="FFFFFF" w:fill="auto"/>
              <w:autoSpaceDN w:val="0"/>
              <w:ind w:firstLine="378" w:firstLineChars="180"/>
              <w:rPr>
                <w:rFonts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2.讲解形式：建议采用包括PPT展示、教学器具演示、纸面书写讲解、实验操作等组合的常用形式，作品亲切生动，突出知识点内容、画面简洁、不做多余的渲染，建议使用简单、专业的微课录制软件，不建议在后期制作上投入大量精力。</w:t>
            </w:r>
          </w:p>
          <w:p>
            <w:pPr>
              <w:shd w:val="solid" w:color="FFFFFF" w:fill="auto"/>
              <w:autoSpaceDN w:val="0"/>
              <w:ind w:firstLine="378" w:firstLineChars="180"/>
              <w:rPr>
                <w:rFonts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3.视频内容能充分体现教师对知识点多方位的讲解能力，（例如：理论讲解、实物操作和解题过程等相结合的微课）让学生易学易懂。</w:t>
            </w:r>
          </w:p>
          <w:p>
            <w:pPr>
              <w:shd w:val="solid" w:color="FFFFFF" w:fill="auto"/>
              <w:autoSpaceDN w:val="0"/>
              <w:ind w:firstLine="378" w:firstLineChars="180"/>
              <w:rPr>
                <w:rFonts w:ascii="仿宋" w:hAnsi="仿宋" w:eastAsia="仿宋" w:cs="仿宋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4.微课视频时长不超过8分钟，视频画质清晰、图像稳定、声音清楚、声音与画面同步。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1119" w:type="dxa"/>
            <w:vMerge w:val="restar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solid" w:color="FFFFFF" w:fill="auto"/>
              <w:autoSpaceDN w:val="0"/>
              <w:jc w:val="center"/>
              <w:rPr>
                <w:rFonts w:ascii="仿宋" w:hAnsi="仿宋" w:eastAsia="仿宋" w:cs="仿宋"/>
                <w:shd w:val="clear" w:color="auto" w:fill="FFFFFF"/>
              </w:rPr>
            </w:pPr>
          </w:p>
          <w:p>
            <w:pPr>
              <w:shd w:val="solid" w:color="FFFFFF" w:fill="auto"/>
              <w:autoSpaceDN w:val="0"/>
              <w:jc w:val="center"/>
              <w:rPr>
                <w:rFonts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作品</w:t>
            </w:r>
          </w:p>
          <w:p>
            <w:pPr>
              <w:shd w:val="solid" w:color="FFFFFF" w:fill="auto"/>
              <w:autoSpaceDN w:val="0"/>
              <w:jc w:val="center"/>
              <w:rPr>
                <w:rFonts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规范</w:t>
            </w:r>
            <w:r>
              <w:rPr>
                <w:rFonts w:hint="eastAsia" w:ascii="仿宋" w:hAnsi="仿宋" w:eastAsia="仿宋" w:cs="仿宋"/>
                <w:shd w:val="clear" w:color="auto" w:fill="FFFFFF"/>
              </w:rPr>
              <w:br w:type="textWrapping"/>
            </w:r>
            <w:r>
              <w:rPr>
                <w:rFonts w:hint="eastAsia" w:ascii="仿宋" w:hAnsi="仿宋" w:eastAsia="仿宋" w:cs="仿宋"/>
                <w:shd w:val="clear" w:color="auto" w:fill="FFFFFF"/>
              </w:rPr>
              <w:t>(20分)</w:t>
            </w:r>
          </w:p>
        </w:tc>
        <w:tc>
          <w:tcPr>
            <w:tcW w:w="1209" w:type="dxa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solid" w:color="FFFFFF" w:fill="auto"/>
              <w:autoSpaceDN w:val="0"/>
              <w:ind w:firstLine="105" w:firstLineChars="50"/>
              <w:rPr>
                <w:rFonts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材料齐全</w:t>
            </w:r>
          </w:p>
          <w:p>
            <w:pPr>
              <w:shd w:val="solid" w:color="FFFFFF" w:fill="auto"/>
              <w:autoSpaceDN w:val="0"/>
              <w:jc w:val="center"/>
              <w:rPr>
                <w:rFonts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（10分）</w:t>
            </w:r>
          </w:p>
        </w:tc>
        <w:tc>
          <w:tcPr>
            <w:tcW w:w="7135" w:type="dxa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solid" w:color="FFFFFF" w:fill="auto"/>
              <w:autoSpaceDN w:val="0"/>
              <w:rPr>
                <w:rFonts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 xml:space="preserve">所提交的作品必须是微课视频，还可以提供与选题相关的辅助扩展资料（可选）：微教案、微习题、微课件、微反思等，便于评审。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119" w:type="dxa"/>
            <w:vMerge w:val="continue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09" w:type="dxa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solid" w:color="FFFFFF" w:fill="auto"/>
              <w:autoSpaceDN w:val="0"/>
              <w:jc w:val="center"/>
              <w:rPr>
                <w:rFonts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语言规范</w:t>
            </w:r>
          </w:p>
          <w:p>
            <w:pPr>
              <w:shd w:val="solid" w:color="FFFFFF" w:fill="auto"/>
              <w:autoSpaceDN w:val="0"/>
              <w:jc w:val="center"/>
              <w:rPr>
                <w:rFonts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（10分）</w:t>
            </w:r>
          </w:p>
        </w:tc>
        <w:tc>
          <w:tcPr>
            <w:tcW w:w="7135" w:type="dxa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solid" w:color="FFFFFF" w:fill="auto"/>
              <w:autoSpaceDN w:val="0"/>
              <w:rPr>
                <w:rFonts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语言发音标准、简明、有亲和力。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4" w:hRule="atLeast"/>
        </w:trPr>
        <w:tc>
          <w:tcPr>
            <w:tcW w:w="1119" w:type="dxa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solid" w:color="FFFFFF" w:fill="auto"/>
              <w:autoSpaceDN w:val="0"/>
              <w:jc w:val="center"/>
              <w:rPr>
                <w:rFonts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教学</w:t>
            </w:r>
          </w:p>
          <w:p>
            <w:pPr>
              <w:shd w:val="solid" w:color="FFFFFF" w:fill="auto"/>
              <w:autoSpaceDN w:val="0"/>
              <w:jc w:val="center"/>
              <w:rPr>
                <w:rFonts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效果</w:t>
            </w:r>
          </w:p>
          <w:p>
            <w:pPr>
              <w:shd w:val="solid" w:color="FFFFFF" w:fill="auto"/>
              <w:autoSpaceDN w:val="0"/>
              <w:jc w:val="center"/>
              <w:rPr>
                <w:rFonts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(10分)</w:t>
            </w:r>
          </w:p>
        </w:tc>
        <w:tc>
          <w:tcPr>
            <w:tcW w:w="8344" w:type="dxa"/>
            <w:gridSpan w:val="2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solid" w:color="FFFFFF" w:fill="auto"/>
              <w:autoSpaceDN w:val="0"/>
              <w:rPr>
                <w:rFonts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完成设定的教学目标，有效解决实际教学问题，促进学生思维的提升、能力的提高。</w:t>
            </w:r>
          </w:p>
          <w:p>
            <w:pPr>
              <w:shd w:val="solid" w:color="FFFFFF" w:fill="auto"/>
              <w:autoSpaceDN w:val="0"/>
              <w:rPr>
                <w:rFonts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有示范和引领作用，可以推广。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119" w:type="dxa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solid" w:color="FFFFFF" w:fill="auto"/>
              <w:autoSpaceDN w:val="0"/>
              <w:jc w:val="center"/>
              <w:rPr>
                <w:rFonts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hd w:val="clear" w:color="auto" w:fill="FFFFFF"/>
              </w:rPr>
              <w:t>合计</w:t>
            </w:r>
          </w:p>
        </w:tc>
        <w:tc>
          <w:tcPr>
            <w:tcW w:w="8344" w:type="dxa"/>
            <w:gridSpan w:val="2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hd w:val="solid" w:color="FFFFFF" w:fill="auto"/>
              <w:autoSpaceDN w:val="0"/>
              <w:ind w:firstLine="281"/>
              <w:jc w:val="left"/>
              <w:rPr>
                <w:rFonts w:ascii="仿宋" w:hAnsi="仿宋" w:eastAsia="仿宋" w:cs="仿宋"/>
                <w:shd w:val="clear" w:color="auto" w:fill="FFFFFF"/>
              </w:rPr>
            </w:pPr>
          </w:p>
        </w:tc>
      </w:tr>
    </w:tbl>
    <w:p>
      <w:pPr>
        <w:widowControl/>
        <w:jc w:val="left"/>
        <w:rPr>
          <w:rFonts w:ascii="仿宋" w:hAnsi="仿宋" w:eastAsia="仿宋" w:cs="仿宋"/>
          <w:sz w:val="24"/>
        </w:rPr>
      </w:pPr>
    </w:p>
    <w:p>
      <w:pPr>
        <w:widowControl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w:t>备注：参考作品</w:t>
      </w:r>
      <w:r>
        <w:rPr>
          <w:rFonts w:hint="eastAsia" w:ascii="仿宋" w:hAnsi="仿宋" w:eastAsia="仿宋" w:cs="仿宋"/>
          <w:sz w:val="24"/>
          <w:lang w:val="en-US" w:eastAsia="zh-CN"/>
        </w:rPr>
        <w:t>投票</w:t>
      </w:r>
      <w:bookmarkStart w:id="0" w:name="_GoBack"/>
      <w:bookmarkEnd w:id="0"/>
      <w:r>
        <w:rPr>
          <w:rFonts w:hint="eastAsia" w:ascii="仿宋" w:hAnsi="仿宋" w:eastAsia="仿宋" w:cs="仿宋"/>
          <w:sz w:val="24"/>
        </w:rPr>
        <w:t>情况进行打分。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FB8"/>
    <w:rsid w:val="0000328C"/>
    <w:rsid w:val="00133130"/>
    <w:rsid w:val="0070497C"/>
    <w:rsid w:val="009F5FB8"/>
    <w:rsid w:val="00D009C5"/>
    <w:rsid w:val="00E00B4C"/>
    <w:rsid w:val="073F0639"/>
    <w:rsid w:val="34E74B65"/>
    <w:rsid w:val="4D680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customStyle="1" w:styleId="8">
    <w:name w:val="列出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114</Words>
  <Characters>655</Characters>
  <Lines>5</Lines>
  <Paragraphs>1</Paragraphs>
  <TotalTime>1</TotalTime>
  <ScaleCrop>false</ScaleCrop>
  <LinksUpToDate>false</LinksUpToDate>
  <CharactersWithSpaces>768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2020-03-11T05:19:00Z</dcterms:created>
  <dc:creator>PC</dc:creator>
  <cp:lastModifiedBy>丽香</cp:lastModifiedBy>
  <dcterms:modified xsi:type="dcterms:W3CDTF">2021-09-02T03:52:23Z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8D402D09508745599B545A0A8E7F8C27</vt:lpwstr>
  </property>
</Properties>
</file>